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3CA2"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2F9CF9F4" w14:textId="77777777" w:rsidR="00B87695" w:rsidRDefault="00B87695" w:rsidP="00BE1FD4">
      <w:pPr>
        <w:rPr>
          <w:rFonts w:ascii="Arial" w:hAnsi="Arial" w:cs="Arial"/>
          <w:b/>
        </w:rPr>
      </w:pPr>
    </w:p>
    <w:p w14:paraId="5E87477E"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0F775350" w14:textId="77777777" w:rsidTr="42819606">
        <w:tc>
          <w:tcPr>
            <w:tcW w:w="3715" w:type="dxa"/>
          </w:tcPr>
          <w:p w14:paraId="06CE96F3"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530EA491" w14:textId="77777777" w:rsidR="00B87695" w:rsidRDefault="00CA115D" w:rsidP="00336DB4">
            <w:pPr>
              <w:rPr>
                <w:rFonts w:ascii="Arial" w:hAnsi="Arial" w:cs="Arial"/>
              </w:rPr>
            </w:pPr>
            <w:r>
              <w:rPr>
                <w:rFonts w:ascii="Arial" w:hAnsi="Arial" w:cs="Arial"/>
              </w:rPr>
              <w:t xml:space="preserve">Variation of </w:t>
            </w:r>
            <w:r w:rsidR="00765A45">
              <w:rPr>
                <w:rFonts w:ascii="Arial" w:hAnsi="Arial" w:cs="Arial"/>
              </w:rPr>
              <w:t>Contract Award</w:t>
            </w:r>
            <w:r w:rsidR="00336DB4">
              <w:rPr>
                <w:rFonts w:ascii="Arial" w:hAnsi="Arial" w:cs="Arial"/>
              </w:rPr>
              <w:t xml:space="preserve"> to Class Affinity</w:t>
            </w:r>
            <w:r w:rsidR="00765A45">
              <w:rPr>
                <w:rFonts w:ascii="Arial" w:hAnsi="Arial" w:cs="Arial"/>
              </w:rPr>
              <w:t xml:space="preserve"> for Fixed Telephony Provision </w:t>
            </w:r>
          </w:p>
          <w:p w14:paraId="3E81AA84" w14:textId="78035FBD" w:rsidR="000A0574" w:rsidRPr="00A96C08" w:rsidRDefault="000A0574" w:rsidP="00336DB4">
            <w:pPr>
              <w:rPr>
                <w:rFonts w:ascii="Arial" w:hAnsi="Arial" w:cs="Arial"/>
              </w:rPr>
            </w:pPr>
          </w:p>
        </w:tc>
      </w:tr>
      <w:tr w:rsidR="00765A45" w14:paraId="5834DA08" w14:textId="77777777" w:rsidTr="42819606">
        <w:tc>
          <w:tcPr>
            <w:tcW w:w="3715" w:type="dxa"/>
          </w:tcPr>
          <w:p w14:paraId="6FC3D0DE" w14:textId="77777777" w:rsidR="00765A45" w:rsidRPr="00854133" w:rsidRDefault="00765A45" w:rsidP="00765A45">
            <w:pPr>
              <w:spacing w:before="120" w:after="120"/>
              <w:rPr>
                <w:rFonts w:ascii="Arial" w:hAnsi="Arial" w:cs="Arial"/>
                <w:b/>
              </w:rPr>
            </w:pPr>
            <w:r w:rsidRPr="00854133">
              <w:rPr>
                <w:rFonts w:ascii="Arial" w:hAnsi="Arial" w:cs="Arial"/>
                <w:b/>
              </w:rPr>
              <w:t>Decision date:</w:t>
            </w:r>
          </w:p>
        </w:tc>
        <w:tc>
          <w:tcPr>
            <w:tcW w:w="6209" w:type="dxa"/>
          </w:tcPr>
          <w:p w14:paraId="4630C651" w14:textId="1BC73207" w:rsidR="00765A45" w:rsidRPr="00A96C08" w:rsidRDefault="00336DB4" w:rsidP="00765A45">
            <w:pPr>
              <w:rPr>
                <w:rFonts w:ascii="Arial" w:hAnsi="Arial" w:cs="Arial"/>
              </w:rPr>
            </w:pPr>
            <w:r>
              <w:rPr>
                <w:rFonts w:ascii="Arial" w:hAnsi="Arial" w:cs="Arial"/>
              </w:rPr>
              <w:t>24 March 2023</w:t>
            </w:r>
          </w:p>
        </w:tc>
      </w:tr>
      <w:tr w:rsidR="00765A45" w14:paraId="097EE55F" w14:textId="77777777" w:rsidTr="42819606">
        <w:tc>
          <w:tcPr>
            <w:tcW w:w="3715" w:type="dxa"/>
          </w:tcPr>
          <w:p w14:paraId="7E9D3F1E" w14:textId="0BA3A6F2" w:rsidR="00765A45" w:rsidRPr="00854133" w:rsidRDefault="00765A45" w:rsidP="00FA49D0">
            <w:pPr>
              <w:spacing w:before="120" w:after="120"/>
              <w:rPr>
                <w:rFonts w:ascii="Arial" w:hAnsi="Arial" w:cs="Arial"/>
              </w:rPr>
            </w:pPr>
            <w:r>
              <w:rPr>
                <w:rFonts w:ascii="Arial" w:hAnsi="Arial" w:cs="Arial"/>
                <w:b/>
              </w:rPr>
              <w:t xml:space="preserve">Source of delegation: </w:t>
            </w:r>
          </w:p>
        </w:tc>
        <w:tc>
          <w:tcPr>
            <w:tcW w:w="6209" w:type="dxa"/>
          </w:tcPr>
          <w:p w14:paraId="3554C484" w14:textId="77777777" w:rsidR="00336DB4" w:rsidRDefault="00336DB4" w:rsidP="00336DB4">
            <w:pPr>
              <w:rPr>
                <w:rFonts w:ascii="Arial" w:hAnsi="Arial" w:cs="Arial"/>
              </w:rPr>
            </w:pPr>
            <w:r>
              <w:rPr>
                <w:rFonts w:ascii="Arial" w:hAnsi="Arial" w:cs="Arial"/>
              </w:rPr>
              <w:t xml:space="preserve">Cabinet, </w:t>
            </w:r>
            <w:hyperlink r:id="rId11" w:history="1">
              <w:r w:rsidRPr="003865BF">
                <w:rPr>
                  <w:rStyle w:val="Hyperlink"/>
                  <w:rFonts w:ascii="Arial" w:hAnsi="Arial" w:cs="Arial"/>
                </w:rPr>
                <w:t>on 10 November 2021</w:t>
              </w:r>
            </w:hyperlink>
            <w:r>
              <w:rPr>
                <w:rFonts w:ascii="Arial" w:hAnsi="Arial" w:cs="Arial"/>
              </w:rPr>
              <w:t>, resolved to:</w:t>
            </w:r>
          </w:p>
          <w:p w14:paraId="1003BFD7" w14:textId="77777777" w:rsidR="00336DB4" w:rsidRDefault="00336DB4" w:rsidP="00336DB4">
            <w:pPr>
              <w:rPr>
                <w:rFonts w:ascii="Arial" w:hAnsi="Arial" w:cs="Arial"/>
              </w:rPr>
            </w:pPr>
          </w:p>
          <w:p w14:paraId="7AE3644F" w14:textId="77777777" w:rsidR="00336DB4" w:rsidRDefault="00336DB4" w:rsidP="00336DB4">
            <w:pPr>
              <w:pStyle w:val="ListParagraph"/>
              <w:numPr>
                <w:ilvl w:val="0"/>
                <w:numId w:val="8"/>
              </w:numPr>
              <w:ind w:left="424" w:hanging="420"/>
              <w:rPr>
                <w:rFonts w:ascii="Arial" w:hAnsi="Arial" w:cs="Arial"/>
              </w:rPr>
            </w:pPr>
            <w:r>
              <w:rPr>
                <w:rFonts w:ascii="Arial" w:hAnsi="Arial" w:cs="Arial"/>
              </w:rPr>
              <w:t>Delegate authority to the Executive Director for Communities, in consultation with the Cabinet Member for Citizen Focused Services, the Head of Financial Services and Head of Law &amp; Governance, to conduct the procurement and award of new Telephony contracts for five years (3+2) using the [Crown Commercial Services Network Services 2 framework (RM3808 Lot 10] (fixed line and mobile), and all other necessary or ancillary agreements with the successful bidder(s) in accordance with the strategy set out in the report.</w:t>
            </w:r>
          </w:p>
          <w:p w14:paraId="43D70465" w14:textId="77777777" w:rsidR="00336DB4" w:rsidRDefault="00336DB4" w:rsidP="00336DB4">
            <w:pPr>
              <w:rPr>
                <w:rFonts w:ascii="Arial" w:hAnsi="Arial" w:cs="Arial"/>
              </w:rPr>
            </w:pPr>
          </w:p>
          <w:p w14:paraId="3715291B" w14:textId="3AB8190F" w:rsidR="00336DB4" w:rsidRDefault="00336DB4" w:rsidP="00336DB4">
            <w:pPr>
              <w:rPr>
                <w:rFonts w:ascii="Arial" w:hAnsi="Arial" w:cs="Arial"/>
              </w:rPr>
            </w:pPr>
            <w:r>
              <w:rPr>
                <w:rFonts w:ascii="Arial" w:hAnsi="Arial" w:cs="Arial"/>
              </w:rPr>
              <w:t>Part 19.27 of the Council’s Constitution provides that:</w:t>
            </w:r>
          </w:p>
          <w:p w14:paraId="43A629CB" w14:textId="77777777" w:rsidR="00336DB4" w:rsidRDefault="00336DB4" w:rsidP="00336DB4">
            <w:pPr>
              <w:rPr>
                <w:rFonts w:ascii="Arial" w:hAnsi="Arial" w:cs="Arial"/>
              </w:rPr>
            </w:pPr>
          </w:p>
          <w:p w14:paraId="7B994FA5" w14:textId="77777777" w:rsidR="00A803B4" w:rsidRDefault="00336DB4" w:rsidP="00336DB4">
            <w:pPr>
              <w:rPr>
                <w:rFonts w:ascii="Arial" w:hAnsi="Arial" w:cs="Arial"/>
                <w:i/>
              </w:rPr>
            </w:pPr>
            <w:r w:rsidRPr="00A803B4">
              <w:rPr>
                <w:rFonts w:ascii="Arial" w:hAnsi="Arial" w:cs="Arial"/>
                <w:i/>
              </w:rPr>
              <w:t>Contracts can only be varied when the contract allows and by a written instruction from the Head of Service or an officer they have appointed to manage the contract. Where such a variation would have a material impact on the nature of the contract or would materially alter its risk profile, advice must be sought and received from both Law and Governance and the Procurement team before such variation is put into effect.</w:t>
            </w:r>
            <w:r w:rsidR="00A803B4" w:rsidRPr="00A803B4">
              <w:rPr>
                <w:rFonts w:ascii="Arial" w:hAnsi="Arial" w:cs="Arial"/>
                <w:i/>
              </w:rPr>
              <w:t xml:space="preserve"> </w:t>
            </w:r>
          </w:p>
          <w:p w14:paraId="331A5F6B" w14:textId="43915F48" w:rsidR="00A803B4" w:rsidRPr="00A803B4" w:rsidRDefault="00A803B4" w:rsidP="00336DB4">
            <w:pPr>
              <w:rPr>
                <w:rFonts w:ascii="Arial" w:hAnsi="Arial" w:cs="Arial"/>
                <w:i/>
              </w:rPr>
            </w:pPr>
            <w:r w:rsidRPr="00A803B4">
              <w:rPr>
                <w:rFonts w:ascii="Arial" w:hAnsi="Arial" w:cs="Arial"/>
                <w:i/>
              </w:rPr>
              <w:t>[…]</w:t>
            </w:r>
          </w:p>
          <w:p w14:paraId="08F757CF" w14:textId="77777777" w:rsidR="00A803B4" w:rsidRPr="00A803B4" w:rsidRDefault="00A803B4" w:rsidP="00336DB4">
            <w:pPr>
              <w:rPr>
                <w:rFonts w:ascii="Arial" w:hAnsi="Arial" w:cs="Arial"/>
                <w:i/>
              </w:rPr>
            </w:pPr>
            <w:r w:rsidRPr="00A803B4">
              <w:rPr>
                <w:rFonts w:ascii="Arial" w:hAnsi="Arial" w:cs="Arial"/>
                <w:i/>
              </w:rPr>
              <w:t xml:space="preserve">Variations must not break any of the contract rules, the UK Public Contract Regulations 2015, or any terms of the contract. </w:t>
            </w:r>
          </w:p>
          <w:p w14:paraId="2D0F2437" w14:textId="5B8AEC55" w:rsidR="00A803B4" w:rsidRPr="00A803B4" w:rsidRDefault="00A803B4" w:rsidP="00336DB4">
            <w:pPr>
              <w:rPr>
                <w:rFonts w:ascii="Arial" w:hAnsi="Arial" w:cs="Arial"/>
                <w:i/>
              </w:rPr>
            </w:pPr>
            <w:r w:rsidRPr="00A803B4">
              <w:rPr>
                <w:rFonts w:ascii="Arial" w:hAnsi="Arial" w:cs="Arial"/>
                <w:i/>
              </w:rPr>
              <w:t>[…]</w:t>
            </w:r>
          </w:p>
          <w:p w14:paraId="48A69EDC" w14:textId="77777777" w:rsidR="00A803B4" w:rsidRPr="00A803B4" w:rsidRDefault="00A803B4" w:rsidP="00336DB4">
            <w:pPr>
              <w:rPr>
                <w:rFonts w:ascii="Arial" w:hAnsi="Arial" w:cs="Arial"/>
                <w:i/>
              </w:rPr>
            </w:pPr>
            <w:r w:rsidRPr="00A803B4">
              <w:rPr>
                <w:rFonts w:ascii="Arial" w:hAnsi="Arial" w:cs="Arial"/>
                <w:i/>
              </w:rPr>
              <w:t>A contract or framework may change without re-advertisement in the Find a Tender Service (FTS) where:</w:t>
            </w:r>
          </w:p>
          <w:p w14:paraId="1995EA7A" w14:textId="77777777" w:rsidR="00A803B4" w:rsidRPr="00A803B4" w:rsidRDefault="00A803B4" w:rsidP="00A803B4">
            <w:pPr>
              <w:pStyle w:val="ListParagraph"/>
              <w:numPr>
                <w:ilvl w:val="0"/>
                <w:numId w:val="9"/>
              </w:numPr>
              <w:rPr>
                <w:rFonts w:ascii="Arial" w:hAnsi="Arial" w:cs="Arial"/>
                <w:i/>
              </w:rPr>
            </w:pPr>
            <w:r w:rsidRPr="00A803B4">
              <w:rPr>
                <w:rFonts w:ascii="Arial" w:hAnsi="Arial" w:cs="Arial"/>
                <w:i/>
              </w:rPr>
              <w:t xml:space="preserve">minor changes that do not affect its nature and not exceed the relevant FTS threshold and not exceed 10% for goods/services or 15% for works of the initial contract value; </w:t>
            </w:r>
          </w:p>
          <w:p w14:paraId="0A57CEFC" w14:textId="77777777" w:rsidR="00A803B4" w:rsidRPr="00A803B4" w:rsidRDefault="00A803B4" w:rsidP="00A803B4">
            <w:pPr>
              <w:pStyle w:val="ListParagraph"/>
              <w:numPr>
                <w:ilvl w:val="0"/>
                <w:numId w:val="9"/>
              </w:numPr>
              <w:rPr>
                <w:rFonts w:ascii="Arial" w:hAnsi="Arial" w:cs="Arial"/>
                <w:i/>
              </w:rPr>
            </w:pPr>
            <w:r w:rsidRPr="00A803B4">
              <w:rPr>
                <w:rFonts w:ascii="Arial" w:hAnsi="Arial" w:cs="Arial"/>
                <w:i/>
              </w:rPr>
              <w:t xml:space="preserve">additional goods, services or works that have become necessary where a change of supplier would not be practicable (for economic, technical or interoperability reasons) or involve substantial inconvenience/duplication of costs up to 50% of the initial contract value; and </w:t>
            </w:r>
          </w:p>
          <w:p w14:paraId="4CF54606" w14:textId="77777777" w:rsidR="00A803B4" w:rsidRPr="00A803B4" w:rsidRDefault="00A803B4" w:rsidP="00A803B4">
            <w:pPr>
              <w:pStyle w:val="ListParagraph"/>
              <w:numPr>
                <w:ilvl w:val="0"/>
                <w:numId w:val="9"/>
              </w:numPr>
              <w:rPr>
                <w:rFonts w:ascii="Arial" w:hAnsi="Arial" w:cs="Arial"/>
                <w:i/>
              </w:rPr>
            </w:pPr>
            <w:proofErr w:type="gramStart"/>
            <w:r w:rsidRPr="00A803B4">
              <w:rPr>
                <w:rFonts w:ascii="Arial" w:hAnsi="Arial" w:cs="Arial"/>
                <w:i/>
              </w:rPr>
              <w:lastRenderedPageBreak/>
              <w:t>the</w:t>
            </w:r>
            <w:proofErr w:type="gramEnd"/>
            <w:r w:rsidRPr="00A803B4">
              <w:rPr>
                <w:rFonts w:ascii="Arial" w:hAnsi="Arial" w:cs="Arial"/>
                <w:i/>
              </w:rPr>
              <w:t xml:space="preserve"> change was unforeseeable and does not affect the nature of the contract or exceed 50% of the initial contract value. </w:t>
            </w:r>
          </w:p>
          <w:p w14:paraId="4A73790C" w14:textId="788C38E1" w:rsidR="00A803B4" w:rsidRDefault="00A803B4" w:rsidP="00A803B4">
            <w:pPr>
              <w:pStyle w:val="ListParagraph"/>
              <w:numPr>
                <w:ilvl w:val="0"/>
                <w:numId w:val="9"/>
              </w:numPr>
            </w:pPr>
            <w:r w:rsidRPr="00A803B4">
              <w:rPr>
                <w:rFonts w:ascii="Arial" w:hAnsi="Arial" w:cs="Arial"/>
                <w:i/>
              </w:rPr>
              <w:t>In the case of the second and third bullet points, the Council must publish a notice of modification of a contract during its term in the Find a Tender Service.</w:t>
            </w:r>
          </w:p>
          <w:p w14:paraId="718B5669" w14:textId="3DBDCC56" w:rsidR="00765A45" w:rsidRPr="00E20A54" w:rsidRDefault="00765A45" w:rsidP="00A803B4">
            <w:pPr>
              <w:rPr>
                <w:rFonts w:ascii="Arial" w:hAnsi="Arial" w:cs="Arial"/>
              </w:rPr>
            </w:pPr>
          </w:p>
        </w:tc>
      </w:tr>
      <w:tr w:rsidR="00B87695" w14:paraId="000B9ED7" w14:textId="77777777" w:rsidTr="42819606">
        <w:tc>
          <w:tcPr>
            <w:tcW w:w="3715" w:type="dxa"/>
          </w:tcPr>
          <w:p w14:paraId="64321E4A" w14:textId="3B012E30" w:rsidR="003B1236" w:rsidRPr="00B87695" w:rsidRDefault="00854133" w:rsidP="00A803B4">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6209" w:type="dxa"/>
          </w:tcPr>
          <w:p w14:paraId="71C0E03C" w14:textId="2E9016DD" w:rsidR="00765A45" w:rsidRDefault="00CA115D" w:rsidP="00765A45">
            <w:pPr>
              <w:rPr>
                <w:rFonts w:ascii="Arial" w:hAnsi="Arial" w:cs="Arial"/>
              </w:rPr>
            </w:pPr>
            <w:r>
              <w:rPr>
                <w:rFonts w:ascii="Arial" w:hAnsi="Arial" w:cs="Arial"/>
              </w:rPr>
              <w:t xml:space="preserve">Variation of </w:t>
            </w:r>
            <w:r w:rsidR="00765A45">
              <w:rPr>
                <w:rFonts w:ascii="Arial" w:hAnsi="Arial" w:cs="Arial"/>
              </w:rPr>
              <w:t xml:space="preserve">Contract Award for Fixed Telephony Provision to Class Affinity </w:t>
            </w:r>
            <w:r w:rsidR="00336DB4">
              <w:rPr>
                <w:rFonts w:ascii="Arial" w:hAnsi="Arial" w:cs="Arial"/>
              </w:rPr>
              <w:t>following a</w:t>
            </w:r>
            <w:r w:rsidR="00765A45">
              <w:rPr>
                <w:rFonts w:ascii="Arial" w:hAnsi="Arial" w:cs="Arial"/>
              </w:rPr>
              <w:t xml:space="preserve"> procurement mini competition on framework RM3803 Lot 5.</w:t>
            </w:r>
          </w:p>
          <w:p w14:paraId="6355F0A7" w14:textId="77777777" w:rsidR="00336DB4" w:rsidRDefault="00336DB4" w:rsidP="00765A45">
            <w:pPr>
              <w:rPr>
                <w:rFonts w:ascii="Arial" w:hAnsi="Arial" w:cs="Arial"/>
              </w:rPr>
            </w:pPr>
          </w:p>
          <w:p w14:paraId="11A8DC9D" w14:textId="5FD32C57" w:rsidR="006247C4" w:rsidRDefault="00336DB4" w:rsidP="00336DB4">
            <w:pPr>
              <w:rPr>
                <w:rFonts w:ascii="Arial" w:hAnsi="Arial" w:cs="Arial"/>
              </w:rPr>
            </w:pPr>
            <w:r>
              <w:rPr>
                <w:rFonts w:ascii="Arial" w:hAnsi="Arial" w:cs="Arial"/>
              </w:rPr>
              <w:t>The c</w:t>
            </w:r>
            <w:r w:rsidR="00765A45">
              <w:rPr>
                <w:rFonts w:ascii="Arial" w:hAnsi="Arial" w:cs="Arial"/>
              </w:rPr>
              <w:t xml:space="preserve">ontract </w:t>
            </w:r>
            <w:r>
              <w:rPr>
                <w:rFonts w:ascii="Arial" w:hAnsi="Arial" w:cs="Arial"/>
              </w:rPr>
              <w:t xml:space="preserve">is </w:t>
            </w:r>
            <w:r w:rsidR="00765A45">
              <w:rPr>
                <w:rFonts w:ascii="Arial" w:hAnsi="Arial" w:cs="Arial"/>
              </w:rPr>
              <w:t>for 3 years + 1 + 1</w:t>
            </w:r>
            <w:r>
              <w:rPr>
                <w:rFonts w:ascii="Arial" w:hAnsi="Arial" w:cs="Arial"/>
              </w:rPr>
              <w:t xml:space="preserve"> and has a</w:t>
            </w:r>
            <w:r w:rsidR="00CA115D">
              <w:rPr>
                <w:rFonts w:ascii="Arial" w:hAnsi="Arial" w:cs="Arial"/>
              </w:rPr>
              <w:t xml:space="preserve"> total</w:t>
            </w:r>
            <w:r w:rsidR="00765A45">
              <w:rPr>
                <w:rFonts w:ascii="Arial" w:hAnsi="Arial" w:cs="Arial"/>
              </w:rPr>
              <w:t xml:space="preserve"> value of £</w:t>
            </w:r>
            <w:r w:rsidR="00612DD2" w:rsidRPr="00612DD2">
              <w:rPr>
                <w:rFonts w:ascii="Arial" w:hAnsi="Arial" w:cs="Arial"/>
              </w:rPr>
              <w:t>764,942</w:t>
            </w:r>
            <w:r w:rsidR="00612DD2">
              <w:rPr>
                <w:rFonts w:ascii="Arial" w:hAnsi="Arial" w:cs="Arial"/>
              </w:rPr>
              <w:t xml:space="preserve"> </w:t>
            </w:r>
            <w:r w:rsidR="00765A45">
              <w:rPr>
                <w:rFonts w:ascii="Arial" w:hAnsi="Arial" w:cs="Arial"/>
              </w:rPr>
              <w:t>over five years.</w:t>
            </w:r>
            <w:r w:rsidR="00CA115D">
              <w:rPr>
                <w:rFonts w:ascii="Arial" w:hAnsi="Arial" w:cs="Arial"/>
              </w:rPr>
              <w:t xml:space="preserve"> This is a variation from the original</w:t>
            </w:r>
            <w:r>
              <w:rPr>
                <w:rFonts w:ascii="Arial" w:hAnsi="Arial" w:cs="Arial"/>
              </w:rPr>
              <w:t xml:space="preserve">ly stated value of </w:t>
            </w:r>
            <w:r w:rsidR="00CA115D">
              <w:rPr>
                <w:rFonts w:ascii="Arial" w:hAnsi="Arial" w:cs="Arial"/>
              </w:rPr>
              <w:t>£686,000</w:t>
            </w:r>
            <w:r>
              <w:rPr>
                <w:rFonts w:ascii="Arial" w:hAnsi="Arial" w:cs="Arial"/>
              </w:rPr>
              <w:t xml:space="preserve"> over five years (</w:t>
            </w:r>
            <w:hyperlink r:id="rId12" w:history="1">
              <w:r w:rsidRPr="000A0574">
                <w:rPr>
                  <w:rStyle w:val="Hyperlink"/>
                  <w:rFonts w:ascii="Arial" w:hAnsi="Arial" w:cs="Arial"/>
                  <w:i/>
                </w:rPr>
                <w:t>original decision taken 15 February 2023</w:t>
              </w:r>
            </w:hyperlink>
            <w:r>
              <w:rPr>
                <w:rFonts w:ascii="Arial" w:hAnsi="Arial" w:cs="Arial"/>
              </w:rPr>
              <w:t>).</w:t>
            </w:r>
          </w:p>
          <w:p w14:paraId="0AB94152" w14:textId="48F8F3AC" w:rsidR="00336DB4" w:rsidRPr="00A96C08" w:rsidRDefault="00336DB4" w:rsidP="00336DB4">
            <w:pPr>
              <w:rPr>
                <w:rFonts w:ascii="Arial" w:hAnsi="Arial" w:cs="Arial"/>
              </w:rPr>
            </w:pPr>
          </w:p>
        </w:tc>
      </w:tr>
      <w:tr w:rsidR="00373F5D" w14:paraId="35BD1630" w14:textId="77777777" w:rsidTr="42819606">
        <w:tc>
          <w:tcPr>
            <w:tcW w:w="3715" w:type="dxa"/>
          </w:tcPr>
          <w:p w14:paraId="58D94C7C" w14:textId="3374B3E0" w:rsidR="00373F5D" w:rsidRPr="00373F5D" w:rsidRDefault="00373F5D" w:rsidP="00556C12">
            <w:pPr>
              <w:spacing w:before="120" w:after="120"/>
              <w:rPr>
                <w:rFonts w:ascii="Arial" w:hAnsi="Arial" w:cs="Arial"/>
              </w:rPr>
            </w:pPr>
            <w:r>
              <w:rPr>
                <w:rFonts w:ascii="Arial" w:hAnsi="Arial" w:cs="Arial"/>
                <w:b/>
              </w:rPr>
              <w:t xml:space="preserve">Purpose: </w:t>
            </w:r>
          </w:p>
        </w:tc>
        <w:tc>
          <w:tcPr>
            <w:tcW w:w="6209" w:type="dxa"/>
          </w:tcPr>
          <w:p w14:paraId="5509CC20" w14:textId="5E711663" w:rsidR="00A803B4" w:rsidRDefault="00A803B4" w:rsidP="00765A45">
            <w:pPr>
              <w:rPr>
                <w:rFonts w:ascii="Arial" w:hAnsi="Arial" w:cs="Arial"/>
              </w:rPr>
            </w:pPr>
            <w:r>
              <w:rPr>
                <w:rFonts w:ascii="Arial" w:hAnsi="Arial" w:cs="Arial"/>
              </w:rPr>
              <w:t xml:space="preserve">The variation </w:t>
            </w:r>
            <w:r w:rsidR="00556C12" w:rsidRPr="24016BEC">
              <w:rPr>
                <w:rFonts w:ascii="Arial" w:hAnsi="Arial" w:cs="Arial"/>
              </w:rPr>
              <w:t>is to correct a keying error on the part of Class Affinity on their spreadsheet submission, where they erroneously showed the broadband costs as annual, rather than monthly</w:t>
            </w:r>
            <w:r w:rsidR="00556C12">
              <w:rPr>
                <w:rFonts w:ascii="Arial" w:hAnsi="Arial" w:cs="Arial"/>
              </w:rPr>
              <w:t>.</w:t>
            </w:r>
          </w:p>
          <w:p w14:paraId="73E8BBC5" w14:textId="77777777" w:rsidR="00A803B4" w:rsidRDefault="00A803B4" w:rsidP="00765A45">
            <w:pPr>
              <w:rPr>
                <w:rFonts w:ascii="Arial" w:hAnsi="Arial" w:cs="Arial"/>
              </w:rPr>
            </w:pPr>
          </w:p>
          <w:p w14:paraId="23581B99" w14:textId="1CE5C83B" w:rsidR="00765A45" w:rsidRDefault="00336DB4" w:rsidP="00765A45">
            <w:pPr>
              <w:rPr>
                <w:rFonts w:ascii="Arial" w:hAnsi="Arial" w:cs="Arial"/>
              </w:rPr>
            </w:pPr>
            <w:r>
              <w:rPr>
                <w:rFonts w:ascii="Arial" w:hAnsi="Arial" w:cs="Arial"/>
              </w:rPr>
              <w:t>This is o</w:t>
            </w:r>
            <w:r w:rsidR="00765A45">
              <w:rPr>
                <w:rFonts w:ascii="Arial" w:hAnsi="Arial" w:cs="Arial"/>
              </w:rPr>
              <w:t xml:space="preserve">ne of two contracts (the other being Mobile Telephony, awarded </w:t>
            </w:r>
            <w:r>
              <w:rPr>
                <w:rFonts w:ascii="Arial" w:hAnsi="Arial" w:cs="Arial"/>
              </w:rPr>
              <w:t xml:space="preserve">to </w:t>
            </w:r>
            <w:r w:rsidR="00765A45">
              <w:rPr>
                <w:rFonts w:ascii="Arial" w:hAnsi="Arial" w:cs="Arial"/>
              </w:rPr>
              <w:t>Telefonica) which combined amount to £</w:t>
            </w:r>
            <w:r w:rsidR="00612DD2">
              <w:rPr>
                <w:rFonts w:ascii="Arial" w:hAnsi="Arial" w:cs="Arial"/>
              </w:rPr>
              <w:t>1,052</w:t>
            </w:r>
            <w:r w:rsidR="00765A45">
              <w:rPr>
                <w:rFonts w:ascii="Arial" w:hAnsi="Arial" w:cs="Arial"/>
              </w:rPr>
              <w:t>,</w:t>
            </w:r>
            <w:r w:rsidR="00612DD2">
              <w:rPr>
                <w:rFonts w:ascii="Arial" w:hAnsi="Arial" w:cs="Arial"/>
              </w:rPr>
              <w:t>942</w:t>
            </w:r>
            <w:r w:rsidR="00765A45">
              <w:rPr>
                <w:rFonts w:ascii="Arial" w:hAnsi="Arial" w:cs="Arial"/>
              </w:rPr>
              <w:t xml:space="preserve">, delivering a saving of </w:t>
            </w:r>
            <w:r w:rsidR="00612DD2">
              <w:rPr>
                <w:rFonts w:ascii="Arial" w:hAnsi="Arial" w:cs="Arial"/>
              </w:rPr>
              <w:t>circa</w:t>
            </w:r>
            <w:r w:rsidR="00765A45">
              <w:rPr>
                <w:rFonts w:ascii="Arial" w:hAnsi="Arial" w:cs="Arial"/>
              </w:rPr>
              <w:t xml:space="preserve"> </w:t>
            </w:r>
            <w:r w:rsidR="00612DD2">
              <w:rPr>
                <w:rFonts w:ascii="Arial" w:hAnsi="Arial" w:cs="Arial"/>
              </w:rPr>
              <w:t>50</w:t>
            </w:r>
            <w:r w:rsidR="00765A45">
              <w:rPr>
                <w:rFonts w:ascii="Arial" w:hAnsi="Arial" w:cs="Arial"/>
              </w:rPr>
              <w:t>% on the previous equivalent contract.</w:t>
            </w:r>
          </w:p>
          <w:p w14:paraId="062788F0" w14:textId="77777777" w:rsidR="00960744" w:rsidRPr="00A96C08" w:rsidRDefault="00960744" w:rsidP="00960744">
            <w:pPr>
              <w:rPr>
                <w:rFonts w:ascii="Arial" w:hAnsi="Arial" w:cs="Arial"/>
              </w:rPr>
            </w:pPr>
          </w:p>
        </w:tc>
      </w:tr>
      <w:tr w:rsidR="00DC2E8D" w14:paraId="0E942274" w14:textId="77777777" w:rsidTr="42819606">
        <w:tc>
          <w:tcPr>
            <w:tcW w:w="3715" w:type="dxa"/>
          </w:tcPr>
          <w:p w14:paraId="3208EF5A" w14:textId="6D364F0B" w:rsidR="00DC2E8D" w:rsidRPr="008E4629" w:rsidRDefault="008E4629" w:rsidP="00556C12">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1F7AE46D" w14:textId="77777777" w:rsidR="00757726" w:rsidRDefault="00765A45" w:rsidP="00757726">
            <w:pPr>
              <w:rPr>
                <w:rFonts w:ascii="Arial" w:hAnsi="Arial" w:cs="Arial"/>
              </w:rPr>
            </w:pPr>
            <w:r>
              <w:rPr>
                <w:rFonts w:ascii="Arial" w:hAnsi="Arial" w:cs="Arial"/>
              </w:rPr>
              <w:t xml:space="preserve">Class Affinity </w:t>
            </w:r>
            <w:r w:rsidR="00CA115D">
              <w:rPr>
                <w:rFonts w:ascii="Arial" w:hAnsi="Arial" w:cs="Arial"/>
              </w:rPr>
              <w:t>was</w:t>
            </w:r>
            <w:r>
              <w:rPr>
                <w:rFonts w:ascii="Arial" w:hAnsi="Arial" w:cs="Arial"/>
              </w:rPr>
              <w:t xml:space="preserve"> the successful bidder in the mini-tender</w:t>
            </w:r>
            <w:r w:rsidR="00CA115D">
              <w:rPr>
                <w:rFonts w:ascii="Arial" w:hAnsi="Arial" w:cs="Arial"/>
              </w:rPr>
              <w:t xml:space="preserve"> for the fixed telephony contract.</w:t>
            </w:r>
          </w:p>
          <w:p w14:paraId="1E9A51C7" w14:textId="77777777" w:rsidR="00A803B4" w:rsidRDefault="00A803B4" w:rsidP="00757726">
            <w:pPr>
              <w:rPr>
                <w:rFonts w:ascii="Arial" w:hAnsi="Arial" w:cs="Arial"/>
              </w:rPr>
            </w:pPr>
          </w:p>
          <w:p w14:paraId="2FE36C29" w14:textId="2AAD722C" w:rsidR="00336DB4" w:rsidRDefault="00336DB4" w:rsidP="00757726">
            <w:pPr>
              <w:rPr>
                <w:rFonts w:ascii="Arial" w:hAnsi="Arial" w:cs="Arial"/>
              </w:rPr>
            </w:pPr>
            <w:r>
              <w:rPr>
                <w:rFonts w:ascii="Arial" w:hAnsi="Arial" w:cs="Arial"/>
              </w:rPr>
              <w:t>The contract variation was required because</w:t>
            </w:r>
            <w:r w:rsidR="00556C12">
              <w:rPr>
                <w:rFonts w:ascii="Arial" w:hAnsi="Arial" w:cs="Arial"/>
              </w:rPr>
              <w:t xml:space="preserve"> </w:t>
            </w:r>
            <w:r w:rsidR="00556C12" w:rsidRPr="24016BEC">
              <w:rPr>
                <w:rFonts w:ascii="Arial" w:hAnsi="Arial" w:cs="Arial"/>
              </w:rPr>
              <w:t>the value shown on the original officer decision form was incorrect, due to a spreadsheet keying error on the part of Class Affinity.</w:t>
            </w:r>
          </w:p>
          <w:p w14:paraId="3D130B03" w14:textId="77777777" w:rsidR="00A803B4" w:rsidRDefault="00A803B4" w:rsidP="00757726">
            <w:pPr>
              <w:rPr>
                <w:rFonts w:ascii="Arial" w:hAnsi="Arial" w:cs="Arial"/>
              </w:rPr>
            </w:pPr>
          </w:p>
          <w:p w14:paraId="213FF10C" w14:textId="77777777" w:rsidR="00A803B4" w:rsidRDefault="00A803B4" w:rsidP="00757726">
            <w:pPr>
              <w:rPr>
                <w:rFonts w:ascii="Arial" w:hAnsi="Arial" w:cs="Arial"/>
              </w:rPr>
            </w:pPr>
            <w:r>
              <w:rPr>
                <w:rFonts w:ascii="Arial" w:hAnsi="Arial" w:cs="Arial"/>
              </w:rPr>
              <w:t>The variation is to reflect minor changes which do not affect the nature of the contract and do not amount to a substantial modification under the UK Public Contract Regulations 2015.</w:t>
            </w:r>
          </w:p>
          <w:p w14:paraId="1BD32737" w14:textId="13AF09AE" w:rsidR="00A803B4" w:rsidRPr="00A96C08" w:rsidRDefault="00A803B4" w:rsidP="00757726">
            <w:pPr>
              <w:rPr>
                <w:rFonts w:ascii="Arial" w:hAnsi="Arial" w:cs="Arial"/>
              </w:rPr>
            </w:pPr>
          </w:p>
        </w:tc>
      </w:tr>
      <w:tr w:rsidR="00B87695" w14:paraId="7215EABC" w14:textId="77777777" w:rsidTr="42819606">
        <w:tc>
          <w:tcPr>
            <w:tcW w:w="3715" w:type="dxa"/>
          </w:tcPr>
          <w:p w14:paraId="63FA7BD4" w14:textId="09B97948" w:rsidR="00B87695" w:rsidRPr="00B87695" w:rsidRDefault="00B87695" w:rsidP="00336DB4">
            <w:pPr>
              <w:spacing w:before="120" w:after="120"/>
              <w:rPr>
                <w:rFonts w:ascii="Arial" w:hAnsi="Arial" w:cs="Arial"/>
              </w:rPr>
            </w:pPr>
            <w:r w:rsidRPr="00B87695">
              <w:rPr>
                <w:rFonts w:ascii="Arial" w:hAnsi="Arial" w:cs="Arial"/>
                <w:b/>
              </w:rPr>
              <w:t xml:space="preserve">Decision made by: </w:t>
            </w:r>
          </w:p>
        </w:tc>
        <w:tc>
          <w:tcPr>
            <w:tcW w:w="6209" w:type="dxa"/>
          </w:tcPr>
          <w:p w14:paraId="1B6D5CFE" w14:textId="77777777" w:rsidR="00765A45" w:rsidRDefault="00765A45" w:rsidP="00765A45">
            <w:pPr>
              <w:rPr>
                <w:rFonts w:ascii="Arial" w:hAnsi="Arial" w:cs="Arial"/>
              </w:rPr>
            </w:pPr>
            <w:r>
              <w:rPr>
                <w:rFonts w:ascii="Arial" w:hAnsi="Arial" w:cs="Arial"/>
              </w:rPr>
              <w:t>Stephen Gabriel</w:t>
            </w:r>
          </w:p>
          <w:p w14:paraId="5D708126" w14:textId="77777777" w:rsidR="00E97024" w:rsidRDefault="00336DB4" w:rsidP="008A22C6">
            <w:pPr>
              <w:rPr>
                <w:rFonts w:ascii="Arial" w:hAnsi="Arial" w:cs="Arial"/>
              </w:rPr>
            </w:pPr>
            <w:r>
              <w:rPr>
                <w:rFonts w:ascii="Arial" w:hAnsi="Arial" w:cs="Arial"/>
              </w:rPr>
              <w:t>Executive Director (</w:t>
            </w:r>
            <w:r w:rsidR="00765A45" w:rsidRPr="00765A45">
              <w:rPr>
                <w:rFonts w:ascii="Arial" w:hAnsi="Arial" w:cs="Arial"/>
              </w:rPr>
              <w:t>Communities and People</w:t>
            </w:r>
            <w:r>
              <w:rPr>
                <w:rFonts w:ascii="Arial" w:hAnsi="Arial" w:cs="Arial"/>
              </w:rPr>
              <w:t>)</w:t>
            </w:r>
          </w:p>
          <w:p w14:paraId="4D95421B" w14:textId="6BDC9E80" w:rsidR="00977733" w:rsidRPr="00A96C08" w:rsidRDefault="00977733" w:rsidP="008A22C6">
            <w:pPr>
              <w:rPr>
                <w:rFonts w:ascii="Arial" w:hAnsi="Arial" w:cs="Arial"/>
              </w:rPr>
            </w:pPr>
          </w:p>
        </w:tc>
      </w:tr>
      <w:tr w:rsidR="006F6326" w14:paraId="2D4A6798" w14:textId="77777777" w:rsidTr="42819606">
        <w:tc>
          <w:tcPr>
            <w:tcW w:w="3715" w:type="dxa"/>
          </w:tcPr>
          <w:p w14:paraId="4DDB21D6" w14:textId="134248D6" w:rsidR="006F6326" w:rsidRDefault="006F6326" w:rsidP="00FA49D0">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4017662C" w14:textId="77777777" w:rsidR="00263039" w:rsidRDefault="00765A45" w:rsidP="00556C12">
            <w:pPr>
              <w:rPr>
                <w:rFonts w:ascii="Arial" w:hAnsi="Arial" w:cs="Arial"/>
              </w:rPr>
            </w:pPr>
            <w:r>
              <w:rPr>
                <w:rFonts w:ascii="Arial" w:hAnsi="Arial" w:cs="Arial"/>
              </w:rPr>
              <w:t>No</w:t>
            </w:r>
            <w:r w:rsidR="00FA49D0">
              <w:rPr>
                <w:rFonts w:ascii="Arial" w:hAnsi="Arial" w:cs="Arial"/>
              </w:rPr>
              <w:t>t to process the contract variation. This option was rejected because t</w:t>
            </w:r>
            <w:r>
              <w:rPr>
                <w:rFonts w:ascii="Arial" w:hAnsi="Arial" w:cs="Arial"/>
              </w:rPr>
              <w:t>he Council requires a fixed telephony contract</w:t>
            </w:r>
            <w:r w:rsidR="00FA49D0">
              <w:rPr>
                <w:rFonts w:ascii="Arial" w:hAnsi="Arial" w:cs="Arial"/>
              </w:rPr>
              <w:t xml:space="preserve"> and the variation was required in order to</w:t>
            </w:r>
            <w:r w:rsidR="00556C12">
              <w:rPr>
                <w:rFonts w:ascii="Arial" w:hAnsi="Arial" w:cs="Arial"/>
              </w:rPr>
              <w:t xml:space="preserve"> </w:t>
            </w:r>
            <w:r w:rsidR="00556C12" w:rsidRPr="24016BEC">
              <w:rPr>
                <w:rFonts w:ascii="Arial" w:hAnsi="Arial" w:cs="Arial"/>
              </w:rPr>
              <w:t>drive in-year savings of circa 50% on the current expiring contract. To not make the decision would have required the procurement to start again, with the likely outcome being the same.</w:t>
            </w:r>
          </w:p>
          <w:p w14:paraId="6AADEC2D" w14:textId="1723D0BB" w:rsidR="00977733" w:rsidRPr="00A96C08" w:rsidRDefault="00977733" w:rsidP="00556C12">
            <w:pPr>
              <w:rPr>
                <w:rFonts w:ascii="Arial" w:hAnsi="Arial" w:cs="Arial"/>
              </w:rPr>
            </w:pPr>
          </w:p>
        </w:tc>
      </w:tr>
      <w:tr w:rsidR="006F6326" w14:paraId="549C3E74" w14:textId="77777777" w:rsidTr="00837AB4">
        <w:tc>
          <w:tcPr>
            <w:tcW w:w="3715" w:type="dxa"/>
          </w:tcPr>
          <w:p w14:paraId="1A75059E" w14:textId="7223FF41" w:rsidR="00C678ED" w:rsidRPr="00C678ED" w:rsidRDefault="006F6326" w:rsidP="00336DB4">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1665383F" w14:textId="77777777" w:rsidR="006F6326" w:rsidRDefault="006F6326" w:rsidP="008A22C6">
            <w:pPr>
              <w:rPr>
                <w:rFonts w:ascii="Arial" w:hAnsi="Arial" w:cs="Arial"/>
              </w:rPr>
            </w:pPr>
          </w:p>
          <w:p w14:paraId="442B850E" w14:textId="64DC882C" w:rsidR="00765A45" w:rsidRPr="00A96C08" w:rsidRDefault="00837AB4" w:rsidP="008A22C6">
            <w:pPr>
              <w:rPr>
                <w:rFonts w:ascii="Arial" w:hAnsi="Arial" w:cs="Arial"/>
              </w:rPr>
            </w:pPr>
            <w:r>
              <w:rPr>
                <w:rFonts w:ascii="Arial" w:hAnsi="Arial" w:cs="Arial"/>
              </w:rPr>
              <w:lastRenderedPageBreak/>
              <w:t>None</w:t>
            </w:r>
          </w:p>
        </w:tc>
      </w:tr>
      <w:tr w:rsidR="00765A45" w14:paraId="39DFD86E" w14:textId="77777777" w:rsidTr="42819606">
        <w:tc>
          <w:tcPr>
            <w:tcW w:w="3715" w:type="dxa"/>
          </w:tcPr>
          <w:p w14:paraId="0914D637" w14:textId="317BFCAE" w:rsidR="00765A45" w:rsidRDefault="00765A45" w:rsidP="000A0574">
            <w:pPr>
              <w:spacing w:before="120" w:after="120"/>
              <w:rPr>
                <w:rFonts w:ascii="Arial" w:hAnsi="Arial" w:cs="Arial"/>
                <w:b/>
              </w:rPr>
            </w:pPr>
            <w:r>
              <w:rPr>
                <w:rFonts w:ascii="Arial" w:hAnsi="Arial" w:cs="Arial"/>
                <w:b/>
              </w:rPr>
              <w:lastRenderedPageBreak/>
              <w:t>Key or Not Key:</w:t>
            </w:r>
          </w:p>
        </w:tc>
        <w:tc>
          <w:tcPr>
            <w:tcW w:w="6209" w:type="dxa"/>
          </w:tcPr>
          <w:p w14:paraId="7F6AA8EF" w14:textId="0E264741" w:rsidR="00765A45" w:rsidRPr="00A96C08" w:rsidRDefault="00CA115D" w:rsidP="00336DB4">
            <w:pPr>
              <w:rPr>
                <w:rFonts w:ascii="Arial" w:hAnsi="Arial" w:cs="Arial"/>
              </w:rPr>
            </w:pPr>
            <w:r>
              <w:rPr>
                <w:rFonts w:ascii="Arial" w:hAnsi="Arial" w:cs="Arial"/>
              </w:rPr>
              <w:t xml:space="preserve">Not </w:t>
            </w:r>
            <w:r w:rsidR="00336DB4">
              <w:rPr>
                <w:rFonts w:ascii="Arial" w:hAnsi="Arial" w:cs="Arial"/>
              </w:rPr>
              <w:t>Key</w:t>
            </w:r>
            <w:r>
              <w:rPr>
                <w:rFonts w:ascii="Arial" w:hAnsi="Arial" w:cs="Arial"/>
              </w:rPr>
              <w:t xml:space="preserve"> (contract variation)</w:t>
            </w:r>
          </w:p>
        </w:tc>
      </w:tr>
      <w:tr w:rsidR="00765A45" w14:paraId="61C2D901" w14:textId="77777777" w:rsidTr="42819606">
        <w:tc>
          <w:tcPr>
            <w:tcW w:w="3715" w:type="dxa"/>
          </w:tcPr>
          <w:p w14:paraId="5B7EB453" w14:textId="367962C7" w:rsidR="00765A45" w:rsidRPr="008E4629" w:rsidRDefault="00765A45" w:rsidP="00336DB4">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p>
        </w:tc>
        <w:tc>
          <w:tcPr>
            <w:tcW w:w="6209" w:type="dxa"/>
          </w:tcPr>
          <w:p w14:paraId="26D8AF1E" w14:textId="41E62DD7" w:rsidR="00765A45" w:rsidRPr="00A96C08" w:rsidRDefault="00336DB4" w:rsidP="00765A45">
            <w:pPr>
              <w:rPr>
                <w:rFonts w:ascii="Arial" w:hAnsi="Arial" w:cs="Arial"/>
              </w:rPr>
            </w:pPr>
            <w:r>
              <w:rPr>
                <w:rFonts w:ascii="Arial" w:hAnsi="Arial" w:cs="Arial"/>
              </w:rPr>
              <w:t>None</w:t>
            </w:r>
          </w:p>
        </w:tc>
      </w:tr>
      <w:tr w:rsidR="00765A45" w14:paraId="725D7CBF" w14:textId="77777777" w:rsidTr="42819606">
        <w:tc>
          <w:tcPr>
            <w:tcW w:w="3715" w:type="dxa"/>
          </w:tcPr>
          <w:p w14:paraId="0B0BE3AB" w14:textId="69CF45AE" w:rsidR="00765A45" w:rsidRPr="006F6326" w:rsidRDefault="00765A45" w:rsidP="00336DB4">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6209" w:type="dxa"/>
          </w:tcPr>
          <w:p w14:paraId="6229C49A" w14:textId="77777777" w:rsidR="00765A45" w:rsidRDefault="00765A45" w:rsidP="00765A45">
            <w:pPr>
              <w:rPr>
                <w:rFonts w:ascii="Arial" w:hAnsi="Arial" w:cs="Arial"/>
              </w:rPr>
            </w:pPr>
          </w:p>
          <w:p w14:paraId="77682B99" w14:textId="2840490D" w:rsidR="00765A45" w:rsidRPr="00A96C08" w:rsidRDefault="00336DB4" w:rsidP="00336DB4">
            <w:pPr>
              <w:rPr>
                <w:rFonts w:ascii="Arial" w:hAnsi="Arial" w:cs="Arial"/>
              </w:rPr>
            </w:pPr>
            <w:r>
              <w:rPr>
                <w:rFonts w:ascii="Arial" w:hAnsi="Arial" w:cs="Arial"/>
              </w:rPr>
              <w:t>None.</w:t>
            </w:r>
          </w:p>
        </w:tc>
      </w:tr>
      <w:tr w:rsidR="00765A45" w14:paraId="5F760FCD" w14:textId="77777777" w:rsidTr="42819606">
        <w:tc>
          <w:tcPr>
            <w:tcW w:w="3715" w:type="dxa"/>
          </w:tcPr>
          <w:p w14:paraId="0787A872" w14:textId="77777777" w:rsidR="00765A45" w:rsidRDefault="00765A45" w:rsidP="00765A4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7A55D708" w14:textId="77777777" w:rsidR="00765A45" w:rsidRDefault="00765A45" w:rsidP="00765A45">
            <w:pPr>
              <w:spacing w:before="120"/>
              <w:rPr>
                <w:rFonts w:ascii="Arial" w:hAnsi="Arial" w:cs="Arial"/>
                <w:b/>
              </w:rPr>
            </w:pPr>
            <w:r w:rsidRPr="003505E0">
              <w:rPr>
                <w:rFonts w:ascii="Arial" w:hAnsi="Arial" w:cs="Arial"/>
                <w:b/>
              </w:rPr>
              <w:t>Name &amp; title:</w:t>
            </w:r>
          </w:p>
          <w:p w14:paraId="4A2741E5" w14:textId="77777777" w:rsidR="00765A45" w:rsidRDefault="00765A45" w:rsidP="00765A45">
            <w:pPr>
              <w:spacing w:before="120" w:after="120"/>
              <w:rPr>
                <w:rFonts w:ascii="Arial" w:hAnsi="Arial" w:cs="Arial"/>
                <w:b/>
              </w:rPr>
            </w:pPr>
            <w:r w:rsidRPr="003505E0">
              <w:rPr>
                <w:rFonts w:ascii="Arial" w:hAnsi="Arial" w:cs="Arial"/>
                <w:b/>
              </w:rPr>
              <w:t>Date:</w:t>
            </w:r>
          </w:p>
        </w:tc>
        <w:tc>
          <w:tcPr>
            <w:tcW w:w="6209" w:type="dxa"/>
          </w:tcPr>
          <w:p w14:paraId="5F17CEEC" w14:textId="77777777" w:rsidR="00765A45" w:rsidRDefault="00765A45" w:rsidP="00765A45">
            <w:pPr>
              <w:rPr>
                <w:rFonts w:ascii="Arial" w:hAnsi="Arial" w:cs="Arial"/>
              </w:rPr>
            </w:pPr>
            <w:r>
              <w:rPr>
                <w:rFonts w:ascii="Arial" w:hAnsi="Arial" w:cs="Arial"/>
              </w:rPr>
              <w:t xml:space="preserve">Rocco </w:t>
            </w:r>
            <w:proofErr w:type="spellStart"/>
            <w:r>
              <w:rPr>
                <w:rFonts w:ascii="Arial" w:hAnsi="Arial" w:cs="Arial"/>
              </w:rPr>
              <w:t>Labellarte</w:t>
            </w:r>
            <w:proofErr w:type="spellEnd"/>
          </w:p>
          <w:p w14:paraId="2F6A20AE" w14:textId="77777777" w:rsidR="00765A45" w:rsidRDefault="00765A45" w:rsidP="00765A45">
            <w:pPr>
              <w:rPr>
                <w:rFonts w:ascii="Arial" w:hAnsi="Arial" w:cs="Arial"/>
              </w:rPr>
            </w:pPr>
          </w:p>
          <w:p w14:paraId="15749119" w14:textId="77777777" w:rsidR="00765A45" w:rsidRDefault="00765A45" w:rsidP="00765A45">
            <w:pPr>
              <w:rPr>
                <w:rFonts w:ascii="Arial" w:hAnsi="Arial" w:cs="Arial"/>
              </w:rPr>
            </w:pPr>
            <w:r>
              <w:rPr>
                <w:rFonts w:ascii="Arial" w:hAnsi="Arial" w:cs="Arial"/>
              </w:rPr>
              <w:t>Chief Technology and Information Officer</w:t>
            </w:r>
          </w:p>
          <w:p w14:paraId="33EF3669" w14:textId="77777777" w:rsidR="00765A45" w:rsidRDefault="00765A45" w:rsidP="00765A45">
            <w:pPr>
              <w:rPr>
                <w:rFonts w:ascii="Arial" w:hAnsi="Arial" w:cs="Arial"/>
              </w:rPr>
            </w:pPr>
          </w:p>
          <w:p w14:paraId="7B073B2C" w14:textId="3B6494CF" w:rsidR="00765A45" w:rsidRPr="00A96C08" w:rsidRDefault="00612DD2" w:rsidP="00765A45">
            <w:pPr>
              <w:rPr>
                <w:rFonts w:ascii="Arial" w:hAnsi="Arial" w:cs="Arial"/>
              </w:rPr>
            </w:pPr>
            <w:r>
              <w:rPr>
                <w:rFonts w:ascii="Arial" w:hAnsi="Arial" w:cs="Arial"/>
              </w:rPr>
              <w:t>22 March</w:t>
            </w:r>
            <w:r w:rsidR="00765A45">
              <w:rPr>
                <w:rFonts w:ascii="Arial" w:hAnsi="Arial" w:cs="Arial"/>
              </w:rPr>
              <w:t xml:space="preserve"> 2023</w:t>
            </w:r>
          </w:p>
        </w:tc>
      </w:tr>
    </w:tbl>
    <w:p w14:paraId="4345F2BB" w14:textId="77777777" w:rsidR="005C60B2" w:rsidRDefault="005C60B2" w:rsidP="008A22C6"/>
    <w:p w14:paraId="6D7DBAA2"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B6DDCBB"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64E05E35" w14:textId="77777777" w:rsidTr="00FA34FE">
        <w:trPr>
          <w:trHeight w:val="516"/>
        </w:trPr>
        <w:tc>
          <w:tcPr>
            <w:tcW w:w="2836" w:type="dxa"/>
          </w:tcPr>
          <w:p w14:paraId="10B9996D"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B3F9382"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10AC2D0"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360B2CEC" w14:textId="77777777" w:rsidTr="00FA34FE">
        <w:trPr>
          <w:trHeight w:val="516"/>
        </w:trPr>
        <w:tc>
          <w:tcPr>
            <w:tcW w:w="2836" w:type="dxa"/>
            <w:vAlign w:val="center"/>
          </w:tcPr>
          <w:p w14:paraId="0527622F" w14:textId="32C436D5" w:rsidR="005C60B2" w:rsidRPr="00336DB4" w:rsidRDefault="005C60B2" w:rsidP="005C60B2">
            <w:pPr>
              <w:spacing w:before="120" w:after="120"/>
              <w:rPr>
                <w:rFonts w:ascii="Arial" w:hAnsi="Arial" w:cs="Arial"/>
                <w:b/>
              </w:rPr>
            </w:pPr>
            <w:r w:rsidRPr="005C60B2">
              <w:rPr>
                <w:rFonts w:ascii="Arial" w:hAnsi="Arial" w:cs="Arial"/>
                <w:b/>
              </w:rPr>
              <w:t xml:space="preserve">Decision maker </w:t>
            </w:r>
          </w:p>
        </w:tc>
        <w:tc>
          <w:tcPr>
            <w:tcW w:w="5103" w:type="dxa"/>
            <w:vAlign w:val="center"/>
          </w:tcPr>
          <w:p w14:paraId="52EE66C9" w14:textId="2FC410A9" w:rsidR="000F5453" w:rsidRDefault="00A72CEA" w:rsidP="00765A45">
            <w:pPr>
              <w:rPr>
                <w:rFonts w:ascii="Arial" w:hAnsi="Arial" w:cs="Arial"/>
              </w:rPr>
            </w:pPr>
            <w:r w:rsidRPr="00142156">
              <w:rPr>
                <w:noProof/>
              </w:rPr>
              <w:drawing>
                <wp:inline distT="0" distB="0" distL="0" distR="0" wp14:anchorId="19DC591B" wp14:editId="003FEF18">
                  <wp:extent cx="1574800" cy="908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4800" cy="908050"/>
                          </a:xfrm>
                          <a:prstGeom prst="rect">
                            <a:avLst/>
                          </a:prstGeom>
                          <a:noFill/>
                          <a:ln>
                            <a:noFill/>
                          </a:ln>
                        </pic:spPr>
                      </pic:pic>
                    </a:graphicData>
                  </a:graphic>
                </wp:inline>
              </w:drawing>
            </w:r>
          </w:p>
          <w:p w14:paraId="1EEA1253" w14:textId="77777777" w:rsidR="00765A45" w:rsidRDefault="00765A45" w:rsidP="00765A45">
            <w:pPr>
              <w:rPr>
                <w:rFonts w:ascii="Arial" w:hAnsi="Arial" w:cs="Arial"/>
              </w:rPr>
            </w:pPr>
            <w:r>
              <w:rPr>
                <w:rFonts w:ascii="Arial" w:hAnsi="Arial" w:cs="Arial"/>
              </w:rPr>
              <w:t>Stephen Gabriel</w:t>
            </w:r>
          </w:p>
          <w:p w14:paraId="14CDC3CF" w14:textId="77777777" w:rsidR="005C60B2" w:rsidRPr="005C60B2" w:rsidRDefault="00765A45" w:rsidP="00765A45">
            <w:pPr>
              <w:rPr>
                <w:rFonts w:ascii="Arial" w:hAnsi="Arial" w:cs="Arial"/>
              </w:rPr>
            </w:pPr>
            <w:r w:rsidRPr="00765A45">
              <w:rPr>
                <w:rFonts w:ascii="Arial" w:hAnsi="Arial" w:cs="Arial"/>
              </w:rPr>
              <w:t>Executive Director for Communities and People</w:t>
            </w:r>
          </w:p>
        </w:tc>
        <w:tc>
          <w:tcPr>
            <w:tcW w:w="1984" w:type="dxa"/>
            <w:vAlign w:val="center"/>
          </w:tcPr>
          <w:p w14:paraId="34DDA4E1" w14:textId="7690E1DB" w:rsidR="005C60B2" w:rsidRPr="005C60B2" w:rsidRDefault="00336DB4" w:rsidP="005C60B2">
            <w:pPr>
              <w:rPr>
                <w:rFonts w:ascii="Arial" w:hAnsi="Arial" w:cs="Arial"/>
              </w:rPr>
            </w:pPr>
            <w:r>
              <w:rPr>
                <w:rFonts w:ascii="Arial" w:hAnsi="Arial" w:cs="Arial"/>
              </w:rPr>
              <w:t>24 March 2023</w:t>
            </w:r>
          </w:p>
        </w:tc>
      </w:tr>
    </w:tbl>
    <w:p w14:paraId="65C723C3" w14:textId="77777777" w:rsidR="005C60B2" w:rsidRPr="005C60B2" w:rsidRDefault="005C60B2" w:rsidP="005C60B2">
      <w:pPr>
        <w:rPr>
          <w:rFonts w:ascii="Arial" w:hAnsi="Arial" w:cs="Arial"/>
        </w:rPr>
      </w:pPr>
    </w:p>
    <w:p w14:paraId="23B3DB5D" w14:textId="77777777" w:rsidR="005C60B2" w:rsidRPr="005C60B2" w:rsidRDefault="005C60B2" w:rsidP="005C60B2">
      <w:pPr>
        <w:rPr>
          <w:rFonts w:ascii="Arial" w:hAnsi="Arial" w:cs="Arial"/>
          <w:b/>
        </w:rPr>
      </w:pPr>
      <w:r w:rsidRPr="005C60B2">
        <w:rPr>
          <w:rFonts w:ascii="Arial" w:hAnsi="Arial" w:cs="Arial"/>
          <w:b/>
        </w:rPr>
        <w:t>Consultee checklist</w:t>
      </w:r>
    </w:p>
    <w:p w14:paraId="45F34B5D"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73732115" w14:textId="77777777" w:rsidTr="005C60B2">
        <w:trPr>
          <w:trHeight w:val="516"/>
        </w:trPr>
        <w:tc>
          <w:tcPr>
            <w:tcW w:w="3403" w:type="dxa"/>
          </w:tcPr>
          <w:p w14:paraId="219EFAB1"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6B040BD9"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54782D7"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765A45" w:rsidRPr="005C60B2" w14:paraId="7B9B3C0D" w14:textId="77777777" w:rsidTr="005C60B2">
        <w:trPr>
          <w:trHeight w:val="516"/>
        </w:trPr>
        <w:tc>
          <w:tcPr>
            <w:tcW w:w="3403" w:type="dxa"/>
            <w:vAlign w:val="center"/>
          </w:tcPr>
          <w:p w14:paraId="22C91E90" w14:textId="77777777" w:rsidR="00765A45" w:rsidRDefault="00765A45" w:rsidP="00765A45">
            <w:pPr>
              <w:spacing w:before="120" w:after="120"/>
              <w:rPr>
                <w:rFonts w:ascii="Arial" w:hAnsi="Arial" w:cs="Arial"/>
                <w:b/>
              </w:rPr>
            </w:pPr>
            <w:r w:rsidRPr="005C60B2">
              <w:rPr>
                <w:rFonts w:ascii="Arial" w:hAnsi="Arial" w:cs="Arial"/>
                <w:b/>
              </w:rPr>
              <w:t>Senior officer</w:t>
            </w:r>
          </w:p>
          <w:p w14:paraId="18A63E93" w14:textId="4829CFA5" w:rsidR="00765A45" w:rsidRPr="005C60B2" w:rsidRDefault="00765A45" w:rsidP="00765A45">
            <w:pPr>
              <w:spacing w:before="120" w:after="120"/>
              <w:rPr>
                <w:rFonts w:ascii="Arial" w:hAnsi="Arial" w:cs="Arial"/>
              </w:rPr>
            </w:pPr>
          </w:p>
        </w:tc>
        <w:tc>
          <w:tcPr>
            <w:tcW w:w="4536" w:type="dxa"/>
            <w:vAlign w:val="center"/>
          </w:tcPr>
          <w:p w14:paraId="3CBB5316" w14:textId="5C03FFCB" w:rsidR="000F5453" w:rsidRDefault="00F9066E" w:rsidP="00765A45">
            <w:pPr>
              <w:rPr>
                <w:rFonts w:ascii="Arial" w:hAnsi="Arial" w:cs="Arial"/>
              </w:rPr>
            </w:pPr>
            <w:r w:rsidRPr="00F9066E">
              <w:rPr>
                <w:rFonts w:ascii="Arial" w:hAnsi="Arial" w:cs="Arial"/>
                <w:noProof/>
              </w:rPr>
              <w:drawing>
                <wp:inline distT="0" distB="0" distL="0" distR="0" wp14:anchorId="061D3E4B" wp14:editId="31B45E21">
                  <wp:extent cx="1039446" cy="482600"/>
                  <wp:effectExtent l="0" t="0" r="8890" b="0"/>
                  <wp:docPr id="4" name="Picture 4" descr="M:\Chief Executive\CorpSec\Secretariat - Helen Bishop\Helen's info\Signature\Hele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ief Executive\CorpSec\Secretariat - Helen Bishop\Helen's info\Signature\Helen's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2275" cy="493199"/>
                          </a:xfrm>
                          <a:prstGeom prst="rect">
                            <a:avLst/>
                          </a:prstGeom>
                          <a:noFill/>
                          <a:ln>
                            <a:noFill/>
                          </a:ln>
                        </pic:spPr>
                      </pic:pic>
                    </a:graphicData>
                  </a:graphic>
                </wp:inline>
              </w:drawing>
            </w:r>
          </w:p>
          <w:p w14:paraId="796F49FB" w14:textId="77777777" w:rsidR="00765A45" w:rsidRDefault="00765A45" w:rsidP="00765A45">
            <w:pPr>
              <w:rPr>
                <w:rFonts w:ascii="Arial" w:hAnsi="Arial" w:cs="Arial"/>
              </w:rPr>
            </w:pPr>
            <w:r>
              <w:rPr>
                <w:rFonts w:ascii="Arial" w:hAnsi="Arial" w:cs="Arial"/>
              </w:rPr>
              <w:t>Helen Bishop</w:t>
            </w:r>
          </w:p>
          <w:p w14:paraId="3D761DF7" w14:textId="77777777" w:rsidR="00765A45" w:rsidRPr="005C60B2" w:rsidRDefault="00765A45" w:rsidP="00765A45">
            <w:pPr>
              <w:rPr>
                <w:rFonts w:ascii="Arial" w:hAnsi="Arial" w:cs="Arial"/>
              </w:rPr>
            </w:pPr>
            <w:r>
              <w:rPr>
                <w:rFonts w:ascii="Arial" w:hAnsi="Arial" w:cs="Arial"/>
              </w:rPr>
              <w:t>Head of Business Improvement</w:t>
            </w:r>
          </w:p>
        </w:tc>
        <w:tc>
          <w:tcPr>
            <w:tcW w:w="1984" w:type="dxa"/>
            <w:vAlign w:val="center"/>
          </w:tcPr>
          <w:p w14:paraId="77686944" w14:textId="34F48BF0" w:rsidR="00765A45" w:rsidRPr="005C60B2" w:rsidRDefault="00336DB4" w:rsidP="00765A45">
            <w:pPr>
              <w:rPr>
                <w:rFonts w:ascii="Arial" w:hAnsi="Arial" w:cs="Arial"/>
              </w:rPr>
            </w:pPr>
            <w:r>
              <w:rPr>
                <w:rFonts w:ascii="Arial" w:hAnsi="Arial" w:cs="Arial"/>
              </w:rPr>
              <w:t>24 March 2023</w:t>
            </w:r>
          </w:p>
        </w:tc>
      </w:tr>
      <w:tr w:rsidR="00765A45" w:rsidRPr="005C60B2" w14:paraId="2DC953CC" w14:textId="77777777" w:rsidTr="005C60B2">
        <w:trPr>
          <w:trHeight w:val="1161"/>
        </w:trPr>
        <w:tc>
          <w:tcPr>
            <w:tcW w:w="3403" w:type="dxa"/>
          </w:tcPr>
          <w:p w14:paraId="0D5BC3B9" w14:textId="77777777" w:rsidR="00765A45" w:rsidRDefault="00765A45" w:rsidP="00765A45">
            <w:pPr>
              <w:spacing w:before="120"/>
              <w:rPr>
                <w:rFonts w:ascii="Arial" w:hAnsi="Arial" w:cs="Arial"/>
                <w:b/>
              </w:rPr>
            </w:pPr>
            <w:r w:rsidRPr="005C60B2">
              <w:rPr>
                <w:rFonts w:ascii="Arial" w:hAnsi="Arial" w:cs="Arial"/>
                <w:b/>
              </w:rPr>
              <w:t>Head of Financial Services</w:t>
            </w:r>
          </w:p>
          <w:p w14:paraId="14705392" w14:textId="7B2EA982" w:rsidR="00765A45" w:rsidRPr="005C60B2" w:rsidRDefault="00765A45" w:rsidP="00765A45">
            <w:pPr>
              <w:spacing w:before="120"/>
              <w:rPr>
                <w:rFonts w:ascii="Arial" w:hAnsi="Arial" w:cs="Arial"/>
              </w:rPr>
            </w:pPr>
          </w:p>
        </w:tc>
        <w:tc>
          <w:tcPr>
            <w:tcW w:w="4536" w:type="dxa"/>
            <w:vAlign w:val="center"/>
          </w:tcPr>
          <w:p w14:paraId="3442C6D4" w14:textId="1039753A" w:rsidR="000F5453" w:rsidRDefault="00933D76" w:rsidP="00765A45">
            <w:pPr>
              <w:rPr>
                <w:rFonts w:ascii="Arial" w:hAnsi="Arial" w:cs="Arial"/>
              </w:rPr>
            </w:pPr>
            <w:r w:rsidRPr="00EA6048">
              <w:rPr>
                <w:noProof/>
              </w:rPr>
              <w:drawing>
                <wp:inline distT="0" distB="0" distL="0" distR="0" wp14:anchorId="1AAA57FF" wp14:editId="67A06B18">
                  <wp:extent cx="11144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14:paraId="00D2951A" w14:textId="4F50210F" w:rsidR="00765A45" w:rsidRPr="005C60B2" w:rsidRDefault="00765A45" w:rsidP="00765A45">
            <w:pPr>
              <w:rPr>
                <w:rFonts w:ascii="Arial" w:hAnsi="Arial" w:cs="Arial"/>
              </w:rPr>
            </w:pPr>
            <w:r>
              <w:rPr>
                <w:rFonts w:ascii="Arial" w:hAnsi="Arial" w:cs="Arial"/>
              </w:rPr>
              <w:t>Nigel Kennedy</w:t>
            </w:r>
            <w:r w:rsidR="00837AB4">
              <w:rPr>
                <w:rFonts w:ascii="Arial" w:hAnsi="Arial" w:cs="Arial"/>
              </w:rPr>
              <w:t>, Head of Financial Services</w:t>
            </w:r>
          </w:p>
        </w:tc>
        <w:tc>
          <w:tcPr>
            <w:tcW w:w="1984" w:type="dxa"/>
            <w:vAlign w:val="center"/>
          </w:tcPr>
          <w:p w14:paraId="29AEB102" w14:textId="7016AD20" w:rsidR="00765A45" w:rsidRPr="005C60B2" w:rsidRDefault="00336DB4" w:rsidP="00765A45">
            <w:pPr>
              <w:rPr>
                <w:rFonts w:ascii="Arial" w:hAnsi="Arial" w:cs="Arial"/>
              </w:rPr>
            </w:pPr>
            <w:r>
              <w:rPr>
                <w:rFonts w:ascii="Arial" w:hAnsi="Arial" w:cs="Arial"/>
              </w:rPr>
              <w:t>23 March 2023</w:t>
            </w:r>
          </w:p>
        </w:tc>
      </w:tr>
      <w:tr w:rsidR="00765A45" w:rsidRPr="005C60B2" w14:paraId="2ED03300" w14:textId="77777777" w:rsidTr="005C60B2">
        <w:trPr>
          <w:trHeight w:val="834"/>
        </w:trPr>
        <w:tc>
          <w:tcPr>
            <w:tcW w:w="3403" w:type="dxa"/>
          </w:tcPr>
          <w:p w14:paraId="1FA095B0" w14:textId="77777777" w:rsidR="00765A45" w:rsidRDefault="00765A45" w:rsidP="00765A45">
            <w:pPr>
              <w:spacing w:before="120" w:after="120"/>
              <w:rPr>
                <w:rFonts w:ascii="Arial" w:hAnsi="Arial" w:cs="Arial"/>
                <w:b/>
              </w:rPr>
            </w:pPr>
            <w:r w:rsidRPr="005C60B2">
              <w:rPr>
                <w:rFonts w:ascii="Arial" w:hAnsi="Arial" w:cs="Arial"/>
                <w:b/>
              </w:rPr>
              <w:t xml:space="preserve">Head of Law and Governance </w:t>
            </w:r>
          </w:p>
          <w:p w14:paraId="6E9B313A" w14:textId="2EF80042" w:rsidR="00765A45" w:rsidRPr="005C60B2" w:rsidRDefault="00765A45" w:rsidP="00765A45">
            <w:pPr>
              <w:spacing w:before="120" w:after="120"/>
              <w:rPr>
                <w:rFonts w:ascii="Arial" w:hAnsi="Arial" w:cs="Arial"/>
              </w:rPr>
            </w:pPr>
          </w:p>
        </w:tc>
        <w:tc>
          <w:tcPr>
            <w:tcW w:w="4536" w:type="dxa"/>
            <w:vAlign w:val="center"/>
          </w:tcPr>
          <w:p w14:paraId="52BC6DAD" w14:textId="699D9D2A" w:rsidR="000F5453" w:rsidRDefault="00933D76" w:rsidP="00765A45">
            <w:pPr>
              <w:rPr>
                <w:rFonts w:ascii="Arial" w:hAnsi="Arial" w:cs="Arial"/>
              </w:rPr>
            </w:pPr>
            <w:r w:rsidRPr="00C64101">
              <w:rPr>
                <w:noProof/>
              </w:rPr>
              <w:drawing>
                <wp:inline distT="0" distB="0" distL="0" distR="0" wp14:anchorId="5EA34001" wp14:editId="37DB47D9">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89924" cy="784928"/>
                          </a:xfrm>
                          <a:prstGeom prst="rect">
                            <a:avLst/>
                          </a:prstGeom>
                        </pic:spPr>
                      </pic:pic>
                    </a:graphicData>
                  </a:graphic>
                </wp:inline>
              </w:drawing>
            </w:r>
          </w:p>
          <w:p w14:paraId="21C861C9" w14:textId="4982128A" w:rsidR="00765A45" w:rsidRPr="005C60B2" w:rsidRDefault="00765A45" w:rsidP="00765A45">
            <w:pPr>
              <w:rPr>
                <w:rFonts w:ascii="Arial" w:hAnsi="Arial" w:cs="Arial"/>
              </w:rPr>
            </w:pPr>
            <w:r>
              <w:rPr>
                <w:rFonts w:ascii="Arial" w:hAnsi="Arial" w:cs="Arial"/>
              </w:rPr>
              <w:t>Susan Sale</w:t>
            </w:r>
            <w:r w:rsidR="00837AB4">
              <w:rPr>
                <w:rFonts w:ascii="Arial" w:hAnsi="Arial" w:cs="Arial"/>
              </w:rPr>
              <w:t>, Head of Law &amp; Governance</w:t>
            </w:r>
            <w:bookmarkStart w:id="0" w:name="_GoBack"/>
            <w:bookmarkEnd w:id="0"/>
          </w:p>
        </w:tc>
        <w:tc>
          <w:tcPr>
            <w:tcW w:w="1984" w:type="dxa"/>
          </w:tcPr>
          <w:p w14:paraId="2882C321" w14:textId="77777777" w:rsidR="00765A45" w:rsidRDefault="00765A45" w:rsidP="00765A45">
            <w:pPr>
              <w:rPr>
                <w:rFonts w:ascii="Arial" w:hAnsi="Arial" w:cs="Arial"/>
              </w:rPr>
            </w:pPr>
          </w:p>
          <w:p w14:paraId="5DCEC4C8" w14:textId="77777777" w:rsidR="00933D76" w:rsidRDefault="00933D76" w:rsidP="00765A45">
            <w:pPr>
              <w:rPr>
                <w:rFonts w:ascii="Arial" w:hAnsi="Arial" w:cs="Arial"/>
              </w:rPr>
            </w:pPr>
          </w:p>
          <w:p w14:paraId="1F5C30FE" w14:textId="12DBCF2C" w:rsidR="00933D76" w:rsidRPr="005C60B2" w:rsidRDefault="00336DB4" w:rsidP="00765A45">
            <w:pPr>
              <w:rPr>
                <w:rFonts w:ascii="Arial" w:hAnsi="Arial" w:cs="Arial"/>
              </w:rPr>
            </w:pPr>
            <w:r>
              <w:rPr>
                <w:rFonts w:ascii="Arial" w:hAnsi="Arial" w:cs="Arial"/>
              </w:rPr>
              <w:t>23 March 2023</w:t>
            </w:r>
          </w:p>
        </w:tc>
      </w:tr>
      <w:tr w:rsidR="005C60B2" w:rsidRPr="005C60B2" w14:paraId="7C277451" w14:textId="77777777" w:rsidTr="005C60B2">
        <w:trPr>
          <w:trHeight w:val="562"/>
        </w:trPr>
        <w:tc>
          <w:tcPr>
            <w:tcW w:w="3403" w:type="dxa"/>
            <w:vAlign w:val="center"/>
          </w:tcPr>
          <w:p w14:paraId="057EE109" w14:textId="13D86200" w:rsidR="00977733" w:rsidRDefault="00977733" w:rsidP="005C60B2">
            <w:pPr>
              <w:spacing w:before="120" w:after="120"/>
              <w:rPr>
                <w:rFonts w:ascii="Arial" w:hAnsi="Arial" w:cs="Arial"/>
                <w:b/>
              </w:rPr>
            </w:pPr>
            <w:r>
              <w:rPr>
                <w:rFonts w:ascii="Arial" w:hAnsi="Arial" w:cs="Arial"/>
                <w:b/>
              </w:rPr>
              <w:t>Cabinet Member</w:t>
            </w:r>
          </w:p>
          <w:p w14:paraId="5B01CBB7" w14:textId="2C7855A8" w:rsidR="005C60B2" w:rsidRPr="005C60B2" w:rsidRDefault="005C60B2" w:rsidP="005C60B2">
            <w:pPr>
              <w:spacing w:before="120" w:after="120"/>
              <w:rPr>
                <w:rFonts w:ascii="Arial" w:hAnsi="Arial" w:cs="Arial"/>
              </w:rPr>
            </w:pPr>
          </w:p>
        </w:tc>
        <w:tc>
          <w:tcPr>
            <w:tcW w:w="4536" w:type="dxa"/>
            <w:vAlign w:val="center"/>
          </w:tcPr>
          <w:p w14:paraId="32D864C2" w14:textId="44B6AC2C" w:rsidR="00612DD2" w:rsidRPr="005C60B2" w:rsidRDefault="00336DB4" w:rsidP="005C60B2">
            <w:pPr>
              <w:rPr>
                <w:rFonts w:ascii="Arial" w:hAnsi="Arial" w:cs="Arial"/>
              </w:rPr>
            </w:pPr>
            <w:r>
              <w:rPr>
                <w:rFonts w:ascii="Arial" w:hAnsi="Arial" w:cs="Arial"/>
              </w:rPr>
              <w:t>Councillor Nigel Chapman, Cabinet Member for Citizen Focused Services</w:t>
            </w:r>
          </w:p>
        </w:tc>
        <w:tc>
          <w:tcPr>
            <w:tcW w:w="1984" w:type="dxa"/>
            <w:vAlign w:val="center"/>
          </w:tcPr>
          <w:p w14:paraId="329E40C4" w14:textId="3AAA3D06" w:rsidR="005C60B2" w:rsidRPr="005C60B2" w:rsidRDefault="00C8714C" w:rsidP="005C60B2">
            <w:pPr>
              <w:rPr>
                <w:rFonts w:ascii="Arial" w:hAnsi="Arial" w:cs="Arial"/>
              </w:rPr>
            </w:pPr>
            <w:r>
              <w:rPr>
                <w:rFonts w:ascii="Arial" w:hAnsi="Arial" w:cs="Arial"/>
              </w:rPr>
              <w:t>23 March 2023</w:t>
            </w:r>
          </w:p>
        </w:tc>
      </w:tr>
    </w:tbl>
    <w:p w14:paraId="6EFB5FC2" w14:textId="77777777" w:rsidR="00424A92" w:rsidRPr="00532DF2" w:rsidRDefault="00424A92" w:rsidP="00556C12">
      <w:pPr>
        <w:rPr>
          <w:rFonts w:ascii="Arial" w:hAnsi="Arial" w:cs="Arial"/>
        </w:rPr>
      </w:pPr>
    </w:p>
    <w:p w14:paraId="4A95B122" w14:textId="5CB777E1" w:rsidR="005C6416" w:rsidRPr="00B15340" w:rsidRDefault="005C6416" w:rsidP="005C6416">
      <w:pPr>
        <w:rPr>
          <w:rFonts w:ascii="Arial" w:hAnsi="Arial" w:cs="Arial"/>
        </w:rPr>
      </w:pPr>
    </w:p>
    <w:sectPr w:rsidR="005C6416" w:rsidRPr="00B15340" w:rsidSect="00532DF2">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5FFCD" w14:textId="77777777" w:rsidR="00360021" w:rsidRDefault="00360021" w:rsidP="00F11FD1">
      <w:r>
        <w:separator/>
      </w:r>
    </w:p>
  </w:endnote>
  <w:endnote w:type="continuationSeparator" w:id="0">
    <w:p w14:paraId="40AADE04" w14:textId="77777777" w:rsidR="00360021" w:rsidRDefault="00360021"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BE31"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542B" w14:textId="77777777" w:rsidR="00360021" w:rsidRDefault="00360021" w:rsidP="00F11FD1">
      <w:r>
        <w:separator/>
      </w:r>
    </w:p>
  </w:footnote>
  <w:footnote w:type="continuationSeparator" w:id="0">
    <w:p w14:paraId="658128E1" w14:textId="77777777" w:rsidR="00360021" w:rsidRDefault="00360021"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7056"/>
    <w:multiLevelType w:val="hybridMultilevel"/>
    <w:tmpl w:val="0158F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0A55F4"/>
    <w:multiLevelType w:val="hybridMultilevel"/>
    <w:tmpl w:val="699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4"/>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0574"/>
    <w:rsid w:val="000B4310"/>
    <w:rsid w:val="000D2140"/>
    <w:rsid w:val="000F4239"/>
    <w:rsid w:val="000F5453"/>
    <w:rsid w:val="00231385"/>
    <w:rsid w:val="002611EB"/>
    <w:rsid w:val="00263039"/>
    <w:rsid w:val="002A07C9"/>
    <w:rsid w:val="002B53D4"/>
    <w:rsid w:val="002E61DD"/>
    <w:rsid w:val="00335A9B"/>
    <w:rsid w:val="00336DB4"/>
    <w:rsid w:val="003505E0"/>
    <w:rsid w:val="003547CD"/>
    <w:rsid w:val="00360021"/>
    <w:rsid w:val="00373F5D"/>
    <w:rsid w:val="003B1236"/>
    <w:rsid w:val="004000D7"/>
    <w:rsid w:val="00405321"/>
    <w:rsid w:val="00424A92"/>
    <w:rsid w:val="004A049B"/>
    <w:rsid w:val="004B1944"/>
    <w:rsid w:val="00504E43"/>
    <w:rsid w:val="00532DF2"/>
    <w:rsid w:val="00556C12"/>
    <w:rsid w:val="005C60B2"/>
    <w:rsid w:val="005C6416"/>
    <w:rsid w:val="005E37E4"/>
    <w:rsid w:val="00612DD2"/>
    <w:rsid w:val="00616F3F"/>
    <w:rsid w:val="006247C4"/>
    <w:rsid w:val="006B1A11"/>
    <w:rsid w:val="006F6326"/>
    <w:rsid w:val="006F6731"/>
    <w:rsid w:val="007023AB"/>
    <w:rsid w:val="00757726"/>
    <w:rsid w:val="00765A45"/>
    <w:rsid w:val="007908F4"/>
    <w:rsid w:val="007D270E"/>
    <w:rsid w:val="00801BEB"/>
    <w:rsid w:val="00804BF2"/>
    <w:rsid w:val="00834D72"/>
    <w:rsid w:val="00837AB4"/>
    <w:rsid w:val="00844D21"/>
    <w:rsid w:val="00854133"/>
    <w:rsid w:val="008613FB"/>
    <w:rsid w:val="008676E5"/>
    <w:rsid w:val="008900A7"/>
    <w:rsid w:val="00891B19"/>
    <w:rsid w:val="008A22C6"/>
    <w:rsid w:val="008E4629"/>
    <w:rsid w:val="00933D76"/>
    <w:rsid w:val="00960744"/>
    <w:rsid w:val="00977733"/>
    <w:rsid w:val="00986C99"/>
    <w:rsid w:val="009F048F"/>
    <w:rsid w:val="009F6401"/>
    <w:rsid w:val="00A12928"/>
    <w:rsid w:val="00A253FE"/>
    <w:rsid w:val="00A72CEA"/>
    <w:rsid w:val="00A73C20"/>
    <w:rsid w:val="00A803B4"/>
    <w:rsid w:val="00A96C08"/>
    <w:rsid w:val="00AC5899"/>
    <w:rsid w:val="00AD3066"/>
    <w:rsid w:val="00B15340"/>
    <w:rsid w:val="00B87695"/>
    <w:rsid w:val="00B928EF"/>
    <w:rsid w:val="00BD4490"/>
    <w:rsid w:val="00BE1FD4"/>
    <w:rsid w:val="00BF240D"/>
    <w:rsid w:val="00C07F80"/>
    <w:rsid w:val="00C251F7"/>
    <w:rsid w:val="00C6130E"/>
    <w:rsid w:val="00C678ED"/>
    <w:rsid w:val="00C8714C"/>
    <w:rsid w:val="00CA115D"/>
    <w:rsid w:val="00CB5E4F"/>
    <w:rsid w:val="00CD4BC9"/>
    <w:rsid w:val="00CE6085"/>
    <w:rsid w:val="00D33F83"/>
    <w:rsid w:val="00D543D9"/>
    <w:rsid w:val="00DB01D4"/>
    <w:rsid w:val="00DC2E8D"/>
    <w:rsid w:val="00DD1A34"/>
    <w:rsid w:val="00DD4885"/>
    <w:rsid w:val="00DD51B2"/>
    <w:rsid w:val="00E127E3"/>
    <w:rsid w:val="00E2036C"/>
    <w:rsid w:val="00E20A54"/>
    <w:rsid w:val="00E270E5"/>
    <w:rsid w:val="00E97024"/>
    <w:rsid w:val="00E97F84"/>
    <w:rsid w:val="00F11FD1"/>
    <w:rsid w:val="00F64579"/>
    <w:rsid w:val="00F9066E"/>
    <w:rsid w:val="00FA49D0"/>
    <w:rsid w:val="00FD3A85"/>
    <w:rsid w:val="42819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3B3"/>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DB4"/>
    <w:rPr>
      <w:sz w:val="16"/>
      <w:szCs w:val="16"/>
    </w:rPr>
  </w:style>
  <w:style w:type="paragraph" w:styleId="CommentText">
    <w:name w:val="annotation text"/>
    <w:basedOn w:val="Normal"/>
    <w:link w:val="CommentTextChar"/>
    <w:uiPriority w:val="99"/>
    <w:semiHidden/>
    <w:unhideWhenUsed/>
    <w:rsid w:val="00336DB4"/>
    <w:rPr>
      <w:sz w:val="20"/>
      <w:szCs w:val="20"/>
    </w:rPr>
  </w:style>
  <w:style w:type="character" w:customStyle="1" w:styleId="CommentTextChar">
    <w:name w:val="Comment Text Char"/>
    <w:basedOn w:val="DefaultParagraphFont"/>
    <w:link w:val="CommentText"/>
    <w:uiPriority w:val="99"/>
    <w:semiHidden/>
    <w:rsid w:val="00336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DB4"/>
    <w:rPr>
      <w:b/>
      <w:bCs/>
    </w:rPr>
  </w:style>
  <w:style w:type="character" w:customStyle="1" w:styleId="CommentSubjectChar">
    <w:name w:val="Comment Subject Char"/>
    <w:basedOn w:val="CommentTextChar"/>
    <w:link w:val="CommentSubject"/>
    <w:uiPriority w:val="99"/>
    <w:semiHidden/>
    <w:rsid w:val="00336DB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ieDecisionDetails.aspx?ID=236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5791&amp;Ver=4"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4EFC-F32B-466A-BEA4-9A944E55C3FB}">
  <ds:schemaRefs>
    <ds:schemaRef ds:uri="http://schemas.openxmlformats.org/package/2006/metadata/core-properties"/>
    <ds:schemaRef ds:uri="http://purl.org/dc/dcmitype/"/>
    <ds:schemaRef ds:uri="http://schemas.microsoft.com/office/infopath/2007/PartnerControls"/>
    <ds:schemaRef ds:uri="ca0c6f25-960b-4ad0-86ba-4742c0ecca1e"/>
    <ds:schemaRef ds:uri="http://purl.org/dc/elements/1.1/"/>
    <ds:schemaRef ds:uri="http://schemas.microsoft.com/office/2006/metadata/properties"/>
    <ds:schemaRef ds:uri="http://schemas.microsoft.com/office/2006/documentManagement/types"/>
    <ds:schemaRef ds:uri="http://purl.org/dc/terms/"/>
    <ds:schemaRef ds:uri="fdb8f1d2-729e-4e17-b922-d1876d49c6d9"/>
    <ds:schemaRef ds:uri="http://www.w3.org/XML/1998/namespace"/>
  </ds:schemaRefs>
</ds:datastoreItem>
</file>

<file path=customXml/itemProps2.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3.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996F9-B5D1-4499-B07B-BDF37C48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4CAEE31C</Template>
  <TotalTime>49</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9</cp:revision>
  <cp:lastPrinted>2015-07-27T09:35:00Z</cp:lastPrinted>
  <dcterms:created xsi:type="dcterms:W3CDTF">2023-03-24T12:33:00Z</dcterms:created>
  <dcterms:modified xsi:type="dcterms:W3CDTF">2023-03-30T07:09:00Z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y fmtid="{D5CDD505-2E9C-101B-9397-08002B2CF9AE}" pid="3" name="GrammarlyDocumentId">
    <vt:lpwstr>ba14ddd0bcd173fc4e342f6bd035ee50567ecaaf541cf88de105fc47ee1683cf</vt:lpwstr>
  </property>
</Properties>
</file>